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Оценив представленные в материалы дела доказательства по правилам статьи 71 Арбитражного процессуального кодекса Российской Федерации, руководствуясь положениями законодательства, регулирующими спорные правоотношения, суды трех инстанций пришли к выводу о том, что в рассматриваемом случае в результате дорожно-транспортного происшествия произошло не полное уничтожение, а частичное повреждение металлического барьерного ограждения, в связи с чем размер ущерба подлежит определению с учетом износа. Руководствуясь статьями 2916, 2918 Арбитражного процессуального кодекса Российской Федерации,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Краснодарского края «Краснодаравтодор»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