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20.05.2024 обратился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14.03.2024, срок на обжалование которого истек 14.05.2024.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ФИО1 ссылается на неосведомленность о сроке подачи кассационной жалобы в Верховный Суд Российской Федерации.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ФИО1 был извещен о судебном разбирательстве в суде первой инстанции, являлся инициатором апелляционного и кассационного обжалования, и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Московского округа от 14.03.2024 заявитель мог ознакомиться 15.03.2024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Лица, участвующие в деле, несут риск наступления последствий совершения или несовершения ими процессуальных действий (статья 9 АПК РФ ).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ФИО1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Кассационную жалобу на решение Арбитражного суда города Москвы от 28.08.2023, постановление Девятого арбитражного апелляционного суда от 29.11.2023 и постановление Арбитражного суда Московского округа от 14.03.2024 по делу № А40-71071/2023 возвратить заявителю. Судья Верховного Суда Российской Федерации М.К. Антонова Суд: Верховный Суд РФ (подробнее) Ответчики: АО СТРАХОВАЯ ГРУППА "СПАССКИЕ ВОРОТА"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