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ИП ФИО1 обратился в Арбитражный суд Краснодарского края с иском о взыскании с ООО «Крафтер-Евразия» 894 827 рублей задолженности и 42 824 рублей 56 копеек процентов за пользование чужими денежными средствами. Решением Арбитражного суда Краснодарского края от 26.10.2023 в удовлетворении иска отказано. Постановлением Пятнадцатого арбитражного апелляционного суда от 26.12.2023 решение суда первой инстанции оставлено без изменения. Арбитражный суд Северо-Кавказского округа постановлением от 13.03.2024 указанные судебные акты оставил без изменения. ИП ФИО1 обратился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иска, суды руководствовались положениями статей 431 , 1005 Гражданского кодекса Российской Федерации и, установив, что в рамках спорного договора ответчик действует как агент-экспедитор в интересах и за счет заказчика, пришли к выводу о том, что иск предъявлен к ненадлежащему ответчику. Доводы жалобы были предметом рассмотрения судов, их выводы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Ответчики: ООО "Крафтер-Евразия"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