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Воронежской области обратился финансовый управляющий его имуществом с уточненным заявлением о признании недействительными договоров купли-продажи транспортного средства и применении последствий недействительности сделок в виде возврата транспортного средства в конкурсную массу должника. Определением Арбитражного суда Воронежской области от 14.09.2023, оставленным без изменения постановлением Девятнадцатого арбитражного апелляционного суда от 22.11.2023 и постановлением Арбитражного суда Центрального округа от 22.02.2024, заявление финансового управляющего удовлетворено, договоры купли-продажи транспортного средства от 11.02.2015, 12.10.2015, 12.03.2021 признаны недействительными, применены последствия недействительности сделок в виде возврата автомобиля в конкурсную массу должника. ФИО1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исходили из того, что должник в период неплатежеспособности передал в собственность заинтересованного лица безвозмездно ликвидное имущество (транспортное средство), за счет которого возможно было удовлетворить требования кредиторов, признав доказанным заключение сделки ее участниками исключительно с противоправной целью, с целью причинения вреда имущественным правам кредиторов, квалифицировав действия участников сделки как злоупотребление правом (статья 10 Гражданского кодекса Российской Федерации).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"Россельхозбанк" (подробнее) Ассоциация МСРО АУ "Содействие" (подробнее) ООО "К.И.Т.-сервис" (подробнее) ПАО Банк ВТБ (подробнее) ПАО "Промсвязьбанк" (подробнее) ПАО "Сбербанк России" (подробнее) ПАО "Транскапиталбанк" (подробнее) Иные лица: ООО Компания "Джи Эс Ти" (подробнее) ООО "Люкс" (подробнее) Федеральная налоговая служба России (подробнее) ФНС России (подробнее) Судьи дела: Зарубина Е.Н. (судья)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