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Ларионовой А.Е. в Арбитражный суд Костромской области обратилось АО «Центр долгового управления» с заявлением о включении требования в размере 21 580 рублей в реестр требований кредиторов должника. Определением Арбитражного суда Костромской области от 31.10.2023 производство по заявлению АО «ЦДУ» прекращено. Постановлением Второго арбитражного апелляционного суда от 14.12.2023 определение суда первой инстанции оставлено без изменения. Ларионова А.Е. обратилась в Судебную коллегию Верховного Суда Российской Федерации с кассационной жалобой на определение суда первой инстанции от 31.10.2023 и постановление апелляционного суда от 14.12.2023, указав также в качестве обжалуемого акта суда кассационной инстанции постановление Арбитражного суда Волго-Вятского округа от 05.03.2024. Однако, как следует из текста постановления Арбитражного суда Волго- Вятского округа от 05.03.2024, предметом кассационного обжалования являлись определение Арбитражного суда Костромской области от 20.10.2023 и 2 постановление Второго арбитражного апелляционного суда от 01.12.2023 о прекращении производства по заявлению ООО МК «Экофинанс». Как следует из информации, размещенной в «Картотеке арбитражных дел» в сети Интернет, кассационной жалоба на определение суда первой инстанции от 31.10.2023 и постановление апелляционного суда от 14.12.2023 принята к производству определением Арбитражного суда Волго-Вятского округа от 23.04.2024 и назначена к рассмотрению на 10.06.2024. Учитывая, что определение суда первой инстанции от 31.10.2023 и постановление суда апелляционной инстанции от 14.12.2023 по обособленному спору о включении требования АО «ЦДУ» в реестр требований кредиторов должника не являлись предметом рассмотрения суда округа, производство по настоящей кассационной жалобе подлежит прекращению. Руководствуясь статьями 150,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на определение Арбитражного суда Костромской области от 31.10.2023 и постановление Второго арбитражного апелляционного суда от 14.12.2023 по делу № А31-14215/2022 прекратить.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