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управляющим имуществом должника ФИО1 с заявлением о признании недействительным соглашения о разделе общего имущества супругов от 01.10.2021, заключенного между должником и ФИО3, и применении последствий недействительности сделки. Определением Арбитражного суда города Москвы от 26.10.2023, оставленным без изменения постановлением Девятого арбитражного апелляционного суда от 13.12.2023, соглашение о разделе общего имущества супругов признано недействительным, применены последствия недействительности сделки в виде возврата в собственность должника дома и земельного участка. Арбитражный суд Московского округа постановлением от 19.02.2024 указанные судебные акты отменил, обособленный спор направил на новое рассмотрение в суд первой инстанции. Финансовый управляющий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Микрофинансовая компания "Фордевинд" (подробнее) ООО "РБ Факторинг" (подробнее) ООО "Русская факторинговая компания" (подробнее) ООО ЭС-БИ-АЙ БАНК (подробнее) ПАО РОСБАНК (подробнее) ПАО "Совкомбанк" (подробнее) ПАО Страховое "Ингосстрах" (подробнее) ТОО "ВЕТТ Ээсти ОЮ" (WETT Eesti OU) (подробнее) Иные лица: Авзалова.Л.П (подробнее) Трякин Артём Петрович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