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Москвы обратилась ФИО3 с заявлением о включении в реестр требований кредиторов должника задолженности в общем размере 1 024 821 рубль 92 копейки по договору займа, заявив ходатайство о восстановлении срока подачи заявления. Определением Арбитражного суда города Москвы от 14.08.2023, оставленным без изменения постановлением Девятого арбитражного апелляционного суда от 26.10.2023, в удовлетворении ходатайства о восстановлении пропущенного срока отказано, требование признано обоснованным и подлежащим удовлетворению за счет имущества должника, оставшегося после удовлетворения требований кредиторов, включенных в реестр требований кредиторов третьей очереди. Арбитражный суд Московского округа постановлением от 01.02.2024 указанные судебные акты отменил, требование ФИО3 в заявленном размере включил в третью очередь реестра требований кредиторов должника. ФИО1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Удовлетворяя ходатайство о восстановлении срока на предъявление требования и признавая требование подлежащим удовлетворению в третью очередь реестра требований кредиторов должника, окружной суд руководствовался положениями статей 71 , 100 , 213.8 , 213.9 Федерального закона от 26.10.2002 № 127-ФЗ «О несостоятельности (банкротстве)», пунктом 24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и исходил из того, что срок предъявления требования пропущен по уважительной причине, учитывая, что ни должник, ни его финансовый управляющий не уведомили кредитора о начавшейся в отношении должника процедуре банкротства, сведения о наличии задолженности перед этим кредитором от своего финансового управляющего должник скрыл. Доводы жалобы не свидетельствуют о неправильном применении норм материального и процессуального права, не подтверждают существенных нарушений норм права, повлиявших на исход дела, и не являются достаточным основанием для пересмотра судебного акта в кассационном порядке. Нарушений или неправильного применения норм процессуального права, которые могли бы явиться основанием для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"Альфа-Банк" (подробнее) АО "Газпромбанк" (подробнее) ИФНС России №43 по г. Москве (подробнее) ООО "МЕДИЦИНСКИЕ ТЕХНОЛОГИИ И ИННОВАЦИИ" (подробнее) ООО "Феникс" (подробнее) Иные лица: НП "СРО "ГАУ" (подробнее) ОСФР ПО Г. МОСКВЕ И МОСКОВСКОЙ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