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мая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ФИО2 в Арбитражный суд Воронежской области обратился кредитор ФИО1 с заявлением о признании недействительным договора займа от 15.01.2015, заключенного между должником (заемщик) и ФИО3 (заимодавец), на сумму 22 000 000 рублей и применении последствий недействительности сделки. Определением Арбитражного суда Воронежской области от 05.12.2022 (с учетом определения об исправлении опечатки от 12.12.2022) в удовлетворении заявления отказано. Постановлением Девятнадцатого арбитражного апелляционного суда от 17.02.2023 определение суда первой инстанции оставлено без изменения. Арбитражный суд Центрального округа постановлением от 31.05.2023 указанные судебные акты оставил без изменения. ФИО1 обратился в Судебную коллегию Верховного Суда Российской Федерации с кассационной жалобой на принятые по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руководствовались положениями статей 10 , 168 , 170 , 807 , 808 Гражданского кодекса Российской Федерации, разъяснениями, изложенными в постановлении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пункте 26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и исходили из отсутствия обстоятельств, позволяющих квалифицировать спорную сделку в качестве мнимой либо совершенной со злоупотреблением правом, учитывая вступившее в законную силу решение суда общей юрисдикции о взыскании задолженности по спорному договору займа, утвержденное судом мировое соглашение относительно задолженности по данному договору, частичное погашение долга, признав доказанным факт предоставления должнику заемных денежных средств и наличие у кредитора финансовой возможности предоставить заем в оспариваемой сумме.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ПКФ "Воронежспецстрой" (подробнее) ООО "Феникс" (подробнее) ПАО Банк "ФК Открытие" (подробнее) ПАО "Сбербанк России" (подробнее) Иные лица: ООО "Региональный Консультационный Центр" (подробнее) САУ СРО "ДЕЛО" (подробнее) ФНС России (подробнее) Судьи дела: Зарубина Е.Н. (судья) Последние документы по делу: Определение от 24 мая 2024 г. по делу № А14-8610/2021 Определение от 3 августа 2023 г. по делу № А14-8610/2021 Показать все документы по этому делу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 Долг по расписке, по договору займа Судебная практика по применению нормы ст. 808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