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16.05.2024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Как следует из обжалуемых судебных актов, заявитель являлся инициатором обращения с кассационной жалобой в суд округа, и знал о состоявшихся судебных актах. Текст последнего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Нарушение порядка подачи первоначальной кассационной жалобы и последующее устранение такого нарушения само по себе не является уважительной причиной и не может служить самостоятельным основанием к восстановлению пропущенного процессуального срока. Надлежащая подача кассационной жалобы находится в компетенции заявителя, и зависит только от его волеизъявления. Лица, участвующие в деле, несут риск наступления последствий совершения или несовершения ими процессуальных действий (статья 9 Арбитражного процессуального кодекса Российской Федерации).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Руководствуясь статьями 117,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«Завод малых серий» о восстановлении пропущенного срока отказать, кассационную жалобу возвратить заявителю.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