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16.05.2024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Ссылки на болезнь генерального директора общества и отсутствие юристов о наличии уважительных причин не свидетельствуют (пункт 12 постановления Пленума Верховного Суда РФ от 30.06.2020 № 13 «О применении Арбитражного процессуального кодекса Российской Федерации при рассмотрении дел в арбитражном суде кассационной инстанции»).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«Интерстрой»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ООО Интерстрой (подробнее) Ответчики: Муниципальное бюджетное учреждение дополнительного образования Саганнурская детская школа искусств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