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Арбитражным судом города Москвы рассмотрен объединенный спор по заявлению ФИО2 о включении в реестр требований кредиторов должника задолженности в размере 12 060 300 рублей, как обеспеченной залогом имущества должника, и заявлению финансового управляющего имуществом должника ФИО3 о признании недействительным договора займа от 22.01.2018, заключенного между должником и ФИО2 Определением Арбитражного суда города Москвы от 23.11.2022, оставленным без изменения постановлением Девятого арбитражного апелляционного суда от 02.03.2023 и постановлением Арбитражного суда Московского округа от 05.06.2023, требование ФИО2 в размере 8 500 000 рублей основного долга, 1 700 000 рублей процентов, 1 800 000 рублей пени включено в третью очередь реестра требований кредиторов должника, как обеспеченное залогом имущества должника; производство по требованию в части 60 300 рублей расходов по госпошлине прекращено; в удовлетворении заявления финансового управляющего отказано. ФИО1 и государственная корпорация «Агентство по страхованию вкладов»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 , 808 Гражданского кодекса Российской Федерации, статьями 61.2 , 71 , 100 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реальности заемных отношений между должником и кредитором, фактической возможности выдачи денежных средств в качестве заемных и отсутствии оснований для признания сделки недействительной на основании пункта 2 статьи 61.2 Закона о банкротстве.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ГК "Агентство по страхованию вкладов" (подробнее) ГК " АСВ" (подробнее) ОАО АКБ "Русский земельный банк" (подробнее) ОАО АКБ "Русский земельный банк" в лице ГК АСВ (подробнее) СРО "ЦААУ" (подробнее) Иные лица: Арбитражный суд города Москвы (подробнее) ГУ МВД РФ по г. Москве (подробнее) Замоскворецкий отдел ЗАГС (подробнее) ИФНС №33 по г.Москве (подробнее) Росреестр по г. Москве (подробнее) ФКУ НПО "СТиС" МВД России (подробнее) ф/у Бабенко Д.Е. (подробнее) Судьи дела: Зарубина Е.Н. (судья) Последние документы по делу: Определение от 23 мая 2024 г. по делу № А40-196630/2019 Определение от 2 октября 2023 г. по делу № А40-196630/2019 Показать все документы по этому делу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