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Московской области с исковым заявлением к ФИО2 о взыскании убытков. К участию в деле в качестве третьего лица, не заявляющего самостоятельных требований относительно предмета спора, привлечена Администрации городского округа Балашиха. Решением Арбитражного суда Московской области от 29.06.2023, оставленным без изменения постановлением Десятого арбитражного апелляционного суда от 27.09.2023 и постановлением Арбитражного суда Московского округа от 30.01.2024, в иске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30.01.2024, тогда как кассационная жалоба была подана в Верховный Суд Российской Федерации 17.05.2024,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Московской области от 29.06.2023, постановление Десятого арбитражного апелляционного суда от 27.09.2023 и постановление Арбитражного суда Московского округа от 30.01.2024 по делу № А41-74297/2022 восстановить. Судья Верховного СудаРоссийской Федерации Н.С. Чучунова Суд: Верховный Суд РФ (подробнее) Судьи дела: Чучунова Н.С. (судья) (подробнее) Последние документы по делу: Определение от 17 июля 2024 г. по делу № А41-74297/2022 Определение от 22 мая 2024 г. по делу № А41-74297/2022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