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«Снабстройгрупп» обратилось в Арбитражный суд Республики Татарстан с иском о взыскании с ООО «СтримЛайнКарго» 33 000 рублей долга по заявке на перевозку груза от 22.02.2023 № 266, 488 рублей 22 копеек процентов за пользование чужими денежными средствами, с их начислением по день фактической оплаты долга. Судом принят встречный иск ООО «СЛК» к ООО «Снабстройгрупп» о взыскании 4 500 рублей штрафной неустойки. Решением Арбитражного суда Республики Татарстан от 23.08.2023 первоначальный иск удовлетворен; в удовлетворении встречного иска отказано. Постановлением Одиннадцатого арбитражного апелляционного суда от 31.10.2023 решение суда первой инстанции оставлено без изменения. Арбитражный суд Поволжского округа постановлением от 20.02.2024 указанные судебные акты оставил без изменения. ООО «СЛК»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309 , 310 , 784 , 785 Гражданского кодекса Российской Федерации, положениями Федерального закона от 08.11.2007 № 259-ФЗ «Устав автомобильного транспорта и городского наземного электрического транспорта», признав доказанным факт оказания истцом услуг по перевозке груза и отсутствие доказательств их оплаты в полном объеме, суды пришли к выводу о наличии оснований для удовлетворения первоначального иска. Отказывая в удовлетворении встречного иска о взыскании неустойки за нарушение обязанности по оформлению первичной документации, суды, руководствуясь статьями 329 , 330 Гражданского кодекса Российской Федерации, проанализировав условия договора заявки, пришли к выводу о предъявлении требований, не согласованных договором заявкой, документация по перевозке представлена перевозчиком своевременно и в полном объеме.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"Снабстройгрупп", с.п.Турдейское, п.Казачка (подробнее) Ответчики: ООО "СтримЛайнКарго", г.Лениногорск (подробнее) Иные лица: Одиннадцатый Арбитражный апелляционный суд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