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2911 и 2916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Д.В. Тютин Российской Федерации Суд: Верховный Суд РФ (подробнее) Истцы: ООО ПромИнжиниринг (подробнее) Ответчики: МИФНС №20 по СО (подробнее) УФНС России по Саратовской области (подробнее) УФНС России по СО (подробнее) Иные лица: Арбитражный суд Поволжского округа (подробнее) ООО "ПромИнжиниринг" (подробнее) Последние документы по делу: Определение от 22 мая 2024 г. по делу № А57-26585/2022 Определение от 10 апреля 2024 г. по делу № А57-26585/2022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