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«ЭкоСмартСтрой» (далее - ООО «ЭкоСмартСтрой», Общество, истец, заявитель) обратилось с иском к Фонду капитального ремонта многоквартирных домов города Москвы (далее – Фонд, ответчик) о снижении до ноля неустойки, начисленной ответчиком по договору от 20.12.2019 № ПКР-004120-19. Решением Арбитражного суда города Москвы от 12.07.2023, оставленным без изменения постановлением Девятого арбитражного апелляционного суда от 27.09.2023, в удовлетворении иска отказано. Постановлением Арбитражного суда Московского округа от 24.01.2024 указанные судебные акты оставлены без изменения.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норм материального и процессуального права. В обоснование доводов жалобы заявитель указывает, что суды в нарушение статьи 67 Арбитражного процессуального кодекса Российской Федерации (далее – АПК РФ) руководствовались неотносимым доказательством - графиком производства работ из дополнительного соглашения № ПР/20 от 19.11.2020 (далее - ДС № ПР/20), а не графиком из дополнительного соглашения № 2 от 17.02.2021 (далее -ДС № 2), что привело к неправомерным выводам об определении даты открытия объекта, а также начальных и конечных сроках производства работ по системам; в нарушение статьи 71 АПК РФ не дали оценку представленным в материалы дела актам приостановки работ/актам об отказе в допуске представителей генподрядчика по ремонту подъездов от 10.06.2021 и 16.08.2021, согласно которым производство работ истца было поставлено в зависимость от производства работ иным подрядчиком по связанным с истцом системам; не применили положения постановления Правительства Российской Федерации от 01.07.2016 № 615; неверно применили положения статьи 333 Гражданского кодекса Российской Федерации (далее – ГК РФ). В соответствии с частью 1 статьи 291.1 , частью 7 статьи 291.6 и статьей 291.11 АПК РФ 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в соответствии с условиями договора от 20.12.2019 № ПКР-004120-19 истцом выполнялись работы по разработке проектной документации и по капитальному ремонту общего имущества в многоквартирном доме. В адрес истца поступила претензия от ответчика от 01.11.2021 № ФКР- ПИР5621/21, содержащая требование об оплате неустойки в размере 2 386 095,23 руб., в связи с нарушением сроков производства работ по ремонту подъездов, внутридомовых инженерных систем теплоснабжения, а также ремонту фасадов. Истец направил возражения на претензию, после чего в его адрес поступила корректировочная претензия от 21.12.2021 № ФКР-ПИР-5621/21, согласно которой размер неустойки был уменьшен до 1 683 957,09 руб. Также за нарушение сроков производства работ по ремонту внутридомовых инженерных систем водоотведения, ремонту внутридомовых инженерных систем холодного водоснабжения, ремонту крыши, была направлена истцу корректировочная претензия от 02.08.2021 № ФКР- ПИР3382/21 об оплате неустойки на сумму 240 708,52 руб. В обоснование заявленных требований истец указал, что начисление неустойки по указанным корректировочным претензиям является необоснованным, поскольку факт просрочки со стороны подрядчика отсутствовал, а процент неустойки, закрепленный пунктом 12.6.1 договора, является завышенным. Указанные обстоятельства послужили основанием для обращения истца в суд с настоящим иском. Суды первой и апелляционной инстанций, с выводами которых впоследствии согласился суд округа, исследовав и оценив по правилам статей 9 , 65 , 68 , 71 АПК РФ представленные в материалы дела доказательства, руководствуясь статьями 309 - 310 , 330 , 333 , 401 , 421 , 431 ГК РФ , разъяснениями, изложенными в постановлении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обязательств», отказали в иске. При этом судебные инстанции исходили из установленного факта нарушения истцом предусмотренных договором сроков выполнения работ, учета ответчиком при выставлении претензий всех обстоятельств, связанных с приостановлением работ, и отсутствия доказательств явной несоразмерности начисленной ответчиком неустойки последствиям нарушения обязательства. Приведенные в кассационной жалобе направлены на переоценку фактических обстоятельств дела и представленных в материалы дела доказательств, не подтверждают существенных нарушений судами норм материального и процессуального права, повлиявших на исход дела, и в силу статьи 291.6 АПК РФ не являются основанием для передачи жалобы для рассмотрения в судебном заседании Судебной коллегии Верховного Суда Российской Федерации.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«ЭкоСмартСтрой»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"ЭКОСМАРТСТРОЙ" (подробнее) Ответчики: Фонд капитального ремонта многоквартирных домов города Москвы (подробнее) Судьи дела: Чучунова Н.С. (судья) (подробнее) Судебная практика по: Уменьшение неустойки Судебная практика по применению нормы ст. 333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