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10.02.2021, оставленным без изменения постановлением Четвертого арбитражного апелляционного суда от 06.05.2021, в иске отказано. Постановлением Арбитражного суда Восточно-Сибирского округа от 20.09.2021 указанные судебные акты отменены, дело направлено на новое рассмотрение в Арбитражный суд Республика Саха (Якутия). В кассационной жалобе заявитель просит постановление суда кассационной инстанции отменить, решение суда первой инстанции и постановление суда апелляционной инстанции оставить в силе, ссылаясь на нарушение судом округа норм права. По смыслу части 1 статьи 291.1 , части 7 статьи 291.6 , статьи 291.11 Арбитражного процессуального кодекса Российской Федерации (далее -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имеется. Постановление судом округа принято в соответствии с полномочиями, предусмотренными статьей 287 Кодекса. Установленные статьей 286 Кодекса пределы рассмотрения дела в данной инстанции арбитражного суда не нарушены. Отмена судебных актов и направление дела на новое рассмотрение обусловлены необходимостью выяснения обстоятельств, имеющих существенное значение для правильного разрешения спора, вытекающего из договора строительного подряда; правильного применения судами норм материального права в данном деле применительно к фактическим обстоятельствам спора и соблюдения требований статьи 71 Кодекса. Вопреки доводам заявителя суд округа не переоценивал доказательства и не устанавливал фактические обстоятельства спора. Нарушений норм права судом округа не допущено, в связи с чем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новом рассмотрении заявитель не лишен возможности изложить свои доводы со ссылками на нормы права и имеющиеся в деле доказательства, поскольку дело направлено судом округа на новое рассмотрение, а вопрос об удовлетворении либо отказе в удовлетворении требований не был окончательно разрешен. Руководствуясь статьями 291.6, 291.8, 291.11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«АЛРОСА-Спецбурение»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АНО ЭК Наука и право (подробнее) АО "Газстройальянс" (подробнее) Ответчики: ООО "АЛРОСА-спецбурение" (подробнее) Иные лица: АК "АЛРОСА" (подробнее) ООО "АЦОК Интеллект" (подробнее) ПАО Акционерная компания "АЛРОСА" (подробнее) Последние документы по делу: Определение от 19 мая 2024 г. по делу № А58-3513/2019 Определение от 17 января 2022 г. по делу № А58-3513/2019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