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«РЖД» поданы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20.06.2022 № 385739 на сумму 8 966 рублей, возвращенной на основании справки от 30.06.2023 в размере 6 301 рубля 70 копеек,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Налогового кодекса Российской Федерации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 или копия документа об уплате государственной пошлины, заверенная судьей, при наличии оснований для ее частичного возврата из бюджета и копия судебного акта о возврате государственной пошлины, заверенная судьей и содержащая гербовую печать суда),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к кассационной жалобе не приложило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 , 184 , 291.2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ОАО «РЖД» о зачете государственной пошлины за подачу кассационной жалобы на решение Арбитражного суда Хабаровского края от 05.06.2023 по делу № А73-2521/2023, постановление Шестого арбитражного апелляционного суда от 19.09.2023 и постановление Арбитражного суда Дальневосточного округа от 19.12.2023 по тому же делу. Жалобу возвратить без рассмотрения по существу. Судья Верховного Суда Российской Федерации Зарубина Е.Н. Суд: Верховный Суд РФ (подробнее) Истцы: АО "Стройсервис" (подробнее) Ответчики: ОАО "Российские железные дороги"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