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Манна А.Ю. определением Арбитражного суда города Москвы от 18.12.2020 признана недействительной сделка по передаче должником Гинзбургу В.М. картин, предметов искусства по акту приема-передачи от 17.12.2019 и применены последствия ее недействительности. Определением Арбитражного суда города Москвы от 30.12.2021 изменен способ исполнения определения суда в части применения последствий недействительности сделки. Гинзбург В.М. 15.12.2023 обратился с апелляционной жалобой на указанные определения суда первой инстанции. Определением Девятого арбитражного апелляционного суда от 28.12.2023 в удовлетворении ходатайства Гинзбурга В.М. о восстановлении пропущенного срока отказано, апелляционная жалоба возвращена на основании пункта 3 части 1 статьи 264 Арбитражного процессуального кодекса Российской Федерации. Арбитражный суд Московского округа постановлением от 12.02.2024 оставил без изменения определение суда апелляционной инстанции. Гинзбург В.М. обратился в Судебную коллегию Верховного Суда Российской Федерации с кассационной жалобой на принятые по спору 2 определения суда апелляционной инстанции и постановление окружного суда, ссылаясь на существенные нарушения норм права. Письмом судьи Верховного Суда Российской Федерации от 15.04.2024 материалы обособленного спора истребованы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результатам изучения материалов дела и доводов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121, 123, 259, 264 Арбитражного процессуального кодекса Российской Федерации, статьей 165.1 Гражданского кодекса Российской Федерации, признал заявителя извещенным надлежащим образом о судебном разбирательстве, оценил приведенные причины пропуска срока и пришел к выводу о том, что они не являются уважительными. Окружной суд согласился с выводом суда апелляционной инстанции об отсутствии оснований для восстановления пропущенного срока.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