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ИП ФИО1) обратился в Арбитражный суд города Москвы с исковым заявлением к ФИО2, ФИО3, обществу с ограниченной ответственностью «Крокуссервис» (далее – Общество) об обязании ФИО2 исполнить условия предварительного договора купли-продажи, заключенного 28.12.2022, путем передачи 55,81% доли в уставном капитале юридического лица, указав, что принятое по настоящему делу решение, вступившее в законную силу, будет являться основанием для регистрации перехода права собственности на спорную долю с внесением соответствующих изменений в Единый государственный реестр юридических лиц. Решением Арбитражного суда города Москвы от 13.09.2023 в удовлетворении требований отказано. Не согласившись с принятым решением, ИП ФИО1 подал апелляционную жалобу. В суде апелляционной инстанции ФИО2 заявила ходатайство о приостановлении производство по настоящему делу до вступления в законную силу решения Хамовнического районного суда города Москвы по гражданскому делу № 02-3946/2023. Определением Девятого арбитражного апелляционного суда от 23.12.2023, оставленным без изменения постановлением Арбитражного суда Московского округа от 19.02.2024, производство по делу № А40-44495/2023 приостановлено до вступления в законную силу судебного акта по гражданскому делу № 02-3946/2023. В кассационной жалобе, поданной в Верховный Суд Российской Федерации, заявитель просит отменить состоявшиеся судебные акты о приостановлении производства по делу, ссылаясь на существенное нарушение судами норм процессуального права. В обоснование доводов жалобы заявитель указывает, что в рассматриваемом случае отсутствовали правовые основания для приостановления производства по делу.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Приостанавливая производство по делу, суд апелляционной инстанции, с которым согласился суд округа, руководствовался статей 143 АПК РФ и обоснованно исходил из того, что судебным актом Хамовнического районного суда города Москвы будут установлены обстоятельства, имеющие существенное значение для рассмотрения настоящего дела, а именно факт получения обеспечительного платежа и определение правовой природы взаимоотношений сторон.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"Крокуссервис"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