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финансовый управляющий его имуществом обратился в Арбитражный суд города Москвы с заявлением о признании недействительными: договора займа от 18.05.2017, заключенного между должником и Светаковым А.А., в редакции дополнительных соглашений; соглашения от 18.09.2017 об уступке права требования по указанному договору займа, заключенного между Светаковым А.А. и компанией «Чаттон Коммершиал Инк.»; договора залога недвижимого имущества от 16.10.2019, заключенного между должником и компанией «Чаттон Коммершиал Инк.». При повторном рассмотрении спора определением Арбитражного суда города Москвы от 01.11.2022, оставленным без изменения постановлением Девятого арбитражного апелляционного суда от 07.02.2023 и постановлением Арбитражного суда Московского округа от 11.12.2023, в удовлетворении заявления отказано. 2 ООО «Аксис Консалтинг» и финансовый управляющий Дронов О.В.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Письмом судьи Верховного Суда Российской Федерации от 04.04.2024 дело истребовано из Арбитражного суда города Москвы для проверки доводов жалоб с его материалами.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Доводы кассационных жалоб, изученные с материалами истребованного дела, не свидетельствуют о наличии оснований, предусмотренных статьей 291.11 Арбитражного процессуального кодекса Российской Федерации, для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