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«Модум-Транс» обратилось в Арбитражный суд города Москвы с иском о взыскании с ОАО «Российские железные дороги» 400 575 рублей 25 копеек убытков. Решением Арбитражного суда города Москвы от 26.06.2023 в удовлетворении иска отказано. Постановлением Девятого арбитражного апелляционного суда от 22.09.2023 решение суда первой инстанции оставлено без изменения. Арбитражный суд Московского округа постановлением от 24.01.2024 указанные судебные акты оставил без изменения. ООО «Модум-Транс»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учитывая недоказанность истцом наличия совокупности обстоятельств, необходимой для привлечения ответчика к гражданско-правовой ответственности в виде возмещения убытков, руководствуясь статьями 15 , 393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суды пришли к выводу об отсутствии оснований для удовлетворения иска. Доводы жалобы были предметом рассмотрения судов, их выводы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 РЖД" (подробнее) ООО "Модум-Транс" (подробнее) Ответчики: ОАО "Российские железные дороги"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