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15.05.2024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Нарушение порядка подачи первоначальной кассационной жалобы и последующее устранение такого нарушения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«Даренка»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ООО "ФИНПРОМ-ИНЖИНИРИНГ" (подробнее) Ответчики: ООО "Даренка"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