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07.05.2024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2 статьями 259, 276, 291.2,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Уральского округа от 24.01.2024, вступившее в законную силу, согласно части 5 статьи 289 АПК РФ, со дня его принятия – 24.01.2024, следовательно, двухмесячный срок на подачу кассационной жалобы истек 25.03.2024 (с учетом выходного дня), тогда как жалоба подана 07.05.2024. Одновременно с подачей жалобы Сагадеевой Л.Ф. заявлено ходатайство о восстановлении пропущенного процессуального срока. В качестве причины пропуска срока указано позднее получение копии обжалуемого постановления суда округа.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поскольку заявитель является должником по делу, в судебном заседании в суде кассационной инстанции присутствовал представитель должника Насыров А.Р. (подписавший настоящую кассационную жалобу), знал о результатах рассмотрения спора, информация о принятом судебном акте размещена судом округа своевременно – обжалуемое постановление окружного суда от 24.01.2024 опубликовано в информационно- телекоммуникационной сети «Интернет» 25.01.2024 в соответствии с пунктом 4.2 постановления Президиума Верховного Суда Российской Федерации от 27.09.2017 «Об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 телекоммуникационной сети «Интернет»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Сагадеевой Ларисе Фаязовне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