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на указанные судебные акты заявителем подано ходатайство о зачете государственной пошлины. Согласно статьям 102, 104 Арбитражного процессуального кодекса Российской Федерации (далее –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3000 руб.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2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Поскольку заявитель в нарушение пункта 2 части 5 статьи 291.3 Арбитражного процессуального кодекса Российской Федерации подал кассационную жалобу без документов, подтверждающих уплату государственной пошлины, на основании пункта 1 части 1 статьи 291.5 Арбитражного процессуального кодекса Российской Федерации кассационная жалоба подлежит возвращению без рассмотрения по существу. В связи с подачей жалобы в электронном виде жалоба и приложенные к ней документы фактическому возврату не подлежат. 3 На основании изложенного, руководствуясь статьями 104, 184, 291.5 АПК РФ, статьей 333.40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«УМД Континент» о зачете государственной пошлины отказать, кассационную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