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определением Арбитражного суда Белгородской области от 16.12.2021 в реестр требований кредиторов должника включено требование ФИО1 в сумме 4 766 347 рублей 09 копеек основного долга на основании вступившего в законную силу решения суда общей юрисдикции. Решением Арбитражного суда Белгородской области от 15.12.2022 заявление кредитора ФИО3 удовлетворено, указанное определение суда первой инстанции отменено по новым обстоятельствам. Определением Арбитражного суда Белгородской области от 27.04.2023, оставленным без изменения постановлением Девятнадцатого арбитражного апелляционного суда от 04.10.2023 и постановлением Арбитражного суда Центрального округа от 29.01.2024, в удовлетворении заявления ФИО1 о включении требования в реестр требований кредиторов должника отказано.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71, 100, 142 Федерального закона от 26.10.2002 № 127-ФЗ «О несостоятельности (банкротстве)», статьями 1064 , 1079 Гражданского кодекса Российской Федерации, суды пришли к выводу об отсутствии надлежащих доказательств, свидетельствующих о том, что должник на момент дорожно-транспортного происшествия являлся законным владельцем транспортного средства (источника повышенной опасности), на которого может быть возложена обязанность по возмещению вреда, причиненного в результате использования источника повышенной опасности, что явилось основанием для отказа в удовлетворении требования о включении в реестр. Несогласие заявителя кассационной жалобы с произведенной судами оценкой обстоятельств дела не свидетельствует о неправильном применении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Администрация города Белгорода (подробнее) Иные лица: ГУ Отделение Пенсионного фонда России по Белгородской области (подробнее) Союз "Саморегулируемая организация арбитражных управляющих Северо-Запада" (подробнее) СРО Союз арбитражных управляющих " "ДЕЛО" (подробнее) Управление Росреестра по Белгородской области (подробнее) УФССП РФ по Белгородской области (подробнее) Судьи дела: Зарубина Е.Н. (судья) (подробнее) Судебная практика по: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