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30.04.2024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Нарушение порядка подачи первоначальной кассационной жалобы и последующее устранение такого нарушения само по себе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«Дубровский»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Самарское региональное отделение фонда социального страхования в лице Филиала №12 (подробнее) Ответчики: ООО "Дубровский"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