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Брусенцева Виктора Викторовича финансовый управляющий его имуществом обратился в Арбитражный суд города Москвы с заявлением о признании недействительными брачного договора, заключенного между должником и его супругой Брусенцевой Г.П; договоров дарения недвижимого имущества (жилого дома, бани, сарая, беседки, земельных участков), заключенных между Брусенцевой Г.П и Мельниковой О.В.; договора купли-продажи недвижимости, заключенного между Мельниковой О.В. и Ивановой Л.К.; договора дарения квартиры Брусенцевой Г.П. (продавец/даритель) Мельниковой О.В.; договора дарения нежилого помещения Брусенцевой Г.П. (продавец/даритель) Мельниковой О.В., и применении последствий недействительности сделок. Определением Арбитражного суда города Москвы от 20.07.2023, оставленным без изменения постановлением Девятого арбитражного апелляционного суда от 05.10.2023 и постановлением Арбитражного суда Московского округа от 31.01.2024, признаны недействительными указанные сделки и применены последствия их недействительности в виде восстановления режима совместной собственности супругов Брусенцева В.В. и Брусенцевой Г.П, существовавшего до заключения брачного договора; обязания Мельниковой О.В. возвратить в конкурсную массу должника нежилое помещение и квартиру; обязания Ивановой Л.К. возвратить в конкурсную массу жилое здание, нежилое сооружение, нежилые здания, земельные участки. 2 Мельникова О.В.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того, что спорные сделки представляют собой цепочку последовательных сделок, которые совершены в отношении заинтересованных лиц, при наличии у должника неисполненных обязательств, существовавших на момент отчуждения спорных объектов недвижимости, безвозмездно, исключительно с целью вывода активов должника, без какой- либо экономической обоснованности, в целях недопущения обращения на него взыскания в деле о банкротстве, признав не пропущенным срок исковой давности.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