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 восстановлении пропущенного процессуального срока на ее подачу. Согласно части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Западно-Сибирского округа от 06.02.2024, на момент обращения заявителя в Верховный Суд Российской Федерации двухмесячный срок, установленный статьей 2912 АПК РФ, истек. Положениями части 2 статьи 2912 АПК РФ предусмотрено, что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2 ходатайству указанного лица может быть восстановлен судьей Судебной коллегии Верховного Суда Российской Федерации,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настоящего Кодекса, со дня, когда это лицо узнало или должно было узнать о нарушении его прав и законных интересов обжалуемым судебным актом. Согласно части 3 статьи 2912 АПК РФ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названного Кодекса. В силу части 2 статьи 117 АПК РФ арбитражный суд восстанавливает пропущенный процессуальный срок, если признает причины пропуска уважительными. Рассмотрев заявленное ходатайство, суд полагает возможным восстановить срок, установленный частью 1 статьи 2912 АПК РФ. Руководствуясь статьями 117, 184, 185,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«Феникс»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