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исследовав и оценив представленные в материалы дела доказательства, суд первой инстанции, руководствуясь положениями Арбитражного процессуального кодекса Российской Федерации, Федерального закона от 02.10.2007 № 229-ФЗ «Об исполнительном производстве», Федерального закона от 21.12.2021 № 417-ФЗ «О внесении изменений в отдельные законодательные акты Российской Федерации», пришел к выводу о том, что оспариваемое постановление судебного пристава-исполнителя не соответствует положениям действующего законодательства и нарушает права и законные интересы заявителя, с чем согласился суд округа. Судебные инстанции исходили из того, что требования к содержанию судебного приказа установлены статьей 2296 Арбитражного процессуального кодекса Российской Федерации, обязанность указания уникального идентификатора начисления указанной статьей не предусмотрена.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Главному управлению Федеральной службы судебных приставов по Красноярскому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Отделение фонда пенсионного и социального страхования российской федерации по красноярскому краю (подробнее) Ответчики: ОСП по Железнодорожному району г. Красноярска ГУФССП по Красноярскому краю (подробнее) Управление Федеральной службы судебных приставов по Красноярскому краю (подробнее) Иные лица: Верховный Суд Российской Федерации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