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«МедЛайн» (далее – истец) обратилось в Арбитражный суд Курганской области с иском к государственному бюджетному учреждению «Курганская больница скорой медицинской помощи» (далее – ответчик) о взыскании задолженности по государственному контракту от 29.04.2022 № 0843500000222001354 в размере 3 042 805 рублей, штрафа в размере 5 000 рублей, а также убытков в размере 27 765 рублей 36 копеек. Решением Арбитражного суда Курганской области от 29.05.2023, оставленным без изменения постановлением Восемнадцатого арбитражного 2 апелляционного суда от 06.09.2023, истцу отказано в удовлетворении заявленных требований. Арбитражный суд Уральского округа постановлением от 22.11.2023 оставил без изменения решение суда первой инстанции и постановление суда апелляционной инстанции. Истец обратился в Верховный Суд Российской Федерации с кассационной жалобой на указанные судебные акты, в которой просит их отменить. Письмом судьи Верховного Суда Российской Федерации от 05.03.2024 были истребованы материалы дела из Арбитражного суда Курганской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положениями Гражданского кодекса Российской Федерации, суды пришли к выводу об отсутствии оснований для удовлетворения заявленных требований. При этом суды исходили из совокупности условий заключенного сторонами контракта, согласно которым не предусмотрена обязанность ответчика выборки всего товара, поставка товара производится только на основании соответствующей заявки ответчика, а также предусмотрена возможность заказчика запросить только необходимый объем товара и обязанность поставщика поставить товар в необходимом для заказчика объеме. Названные условия контракта согласованы сторонами без замечаний, были известны истцу, каких-либо замечаний по данным условиям истцом в адрес ответчика не направлялось. Кроме того, судами принято во внимание, что в настоящее время товар, за поставку которого истец требует взыскать задолженность по контракту, находится у истца. Также суды учли, что по первой заявке товар был приобретен истцом 3 еще до заключения контракта и для нужд других заказчиков; у истца имеется возможность реализовать товар иному лицу. Обжалуя судебные акты в Верховный Суд Российской Федерации, истец приводит доводы, которые являлись предметом рассмотрения судов и получили правовую оценку с учетом установленных фактических обстоятельств дела, связанных с условиями контракта и действиями сторон по его исполнению.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истца,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