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Коблева С.А. в Арбитражный суд города Москвы обратился финансовый управляющий с заявлением о признании недействительным договора купли-продажи от 21.06.2016, заключенного между должником и Даниловым И.А. Определением Арбитражного суда города Москвы от 30.04.2021, оставленным без изменения постановлением Девятого арбитражного апелляционного суда от 13.08.2021, в удовлетворении заявления отказано. Постановлением Арбитражного суда Московского округа от 03.11.2021 судебные акты отменены, обособленный спор направлен на новое рассмотрение в Арбитражный суд города Москвы. При новом рассмотрении спора финансовым управляющим, с учетом принятых судом уточнений в порядке статьи 49 Арбитражного процессуального кодекса Российской Федерации, заявлено требование о признании недействительными сделками договоров купли-продажи земельных участков, заключенных между должником, Даниловым И.А., Лисянским М.Э., Быковой О.Е., Пицык А.Р., Журавской О.А. 2 Определением Арбитражного суда города Москвы от 28.04.2023, оставленным без изменения постановлением Девятого арбитражного апелляционного суда от 03.11.2023 и постановлением Арбитражного суда Московского округа от 29.01.2024, в удовлетворении заявления отказано. Финансовый управляющий Мельникова Ю.А.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статей 65, 71 Арбитражного процессуального кодекса Российской Федерации, руководствуясь пунктом 2 статьи 61.2, статьей 213.32 Федерального закона от 26.10.2002 № 127-ФЗ «О несостоятельности (банкротстве)»,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недоказанности заявителем обстоятельств, свидетельствующих о совершении сделок с целью причинения вреда имущественным правам кредиторов, учитывая, что сделки совершены на рыночных условиях, спорные объекты недвижимости переданы ответчику при наличии равноценного встречного предоставления, наличие у ответчиков финансовой возможности на приобретение недвижимого имущества установлено, аффилированность сторон сделок не доказана, основания для признания недействительности сделок по общим гражданским основаниям отсутствуют. Доводы, изложенные в кассационной жалобе, приводились при рассмотрении дела, были рассмотрены судами и им дана надлежащая оценка. Эти доводы, с учетом установленных фактических обстоятельств дела, выводы 3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