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Масло Павла Моисеевича в Арбитражный суд города Москвы обратился финансовый управляющий его имуществом с заявлением о признании недействительными сделок, совершенных 18.05.2022 в виде перечисления денежных средств с банковских счетов должника на счета Масло А.П. (сын должника), и применении последствий недействительности сделок в виде взыскания с ответчика в конкурсную массу должника 6 000 000 рублей и 459 698 рублей 64 копеек процентов за пользование чужими денежными средствами. Определением Арбитражного суда города Москвы от 28.06.2023 заявление удовлетворено. Постановлением Девятого арбитражного апелляционного суда от 27.10.2023 (с учетом определения об исправлении опечатки от 13.11.2023) определение суда первой инстанции изменено, признаны недействительными сделки по перечислению 18.05.2022 должником в пользу Масло А.П. 1 650 000 рублей и указанная сумма взыскана в конкурсную массу должника, а также взысканы проценты за пользование чужими денежными средствами в порядке статьи 395 ГК РФ, начисленные на сумму долга с учетом частичной оплаты, за период с даты вступления судебного акта в законную силу по дату 2 фактического исполнения судебного акта; в удовлетворении заявления финансового управляющего в остальной части отказано. Арбитражный суд Московского округа постановлением от 25.03.2024 оставил без изменения определение суда первой инстанции в неизмененной части и постановление апелляционного суда. Масло А.П. обратился в Судебную коллегию Верховного Суда Российской Федерации с кассационной жалобой и дополнениями к ней на принятые по обособленному спору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дополнений к ней не установлено. Разрешая спор, суд первой инстанции руководствовался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установив, что спорные платежи совершены в период неплатежеспособности должника, в пользу заинтересованного лица, без встречного предоставления, с целью причинения вреда кредиторам, что привело к уменьшению конкурсной массы должника, пришел к выводу о наличии оснований для признания сделок недействительными, отклонив доводы ответчика о частичном возврате должнику денежных средств как бездоказательные. Суд апелляционной инстанции согласился с выводами суда первой инстанции о доказанности наличия совокупности условий, необходимой для признания оспариваемых сделок недействительными, и с учетом доказанности возврата ответчиком денежных средств должнику в сумме 4 350 000 рублей, признал недействительной сделку должника по перечислению сыну денежных средств в сумме 1 650 000 рублей. С выводами судов согласился окружной суд.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