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25.04.2024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последнего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Нарушение порядка подачи первоначальной кассационной жалобы и последующее устранение такого нарушения само по себе не является уважительной причиной и не может служить самостоятельным основанием к восстановлению пропущенного процессуального срока. Надлежащая подача кассационной жалобы находится в компетенции заявителя, и зависит только от его волеизъявления. При этом в соответствии с частью 6 статьи 121 Арбитражного процессуального кодекса Российской Федерации лица, участвующие в деле, после получения определения о принятии искового заявления или заявления к производству и возбуждении производства по делу, а лица, вступившие в дело или привлеченные к участию в деле позднее, и иные участники арбитражного процесса после получения первого судебного акта по рассматриваемому делу самостоятельно предпринимают меры по получению информации о движении дела с использованием любых источников такой информации и любых средств связи. Лица, участвующие в деле, несут риск наступления последствий совершения или несовершения ими процессуальных действий (статья 9 Арбитражного процессуального кодекса Российской Федерации).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2915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Управления Федерального казначейства по Карачаево-Черкесской Республике о восстановлении пропущенного срока отказать, кассационную жалобу возвратить заявителю.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