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Союз арбитражных управляющих «Авангард» обратился в Арбитражный суд города Москвы с иском о взыскании с Тарана А.Б. 4 492 020 рублей убытков. Решением Арбитражного суда города Москвы от 28.07.2023 иск удовлетворен. Постановлением Девятого арбитражного апелляционного суда от 09.10.2023 решение суда первой инстанции оставлено без изменения. Арбитражный суд Московского округа постановлением от 29.01.2024 указанные судебные акты оставил без изменения. Таран А.Б.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20.3, 20.4, 25.1 Федерального закона от 26.10.2002 № 127-ФЗ «О несостоятельности (банкротстве)», статьями 15, 387, 1081 Гражданского кодекса Российской Федерации, статьей 13 Федерального закона от 01.12.2007 № 315-ФЗ «О саморегулируемых организациях» и пришли к выводу о наличии у саморегулируемой организации права на предъявление регрессного требования к арбитражному управляющему.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