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Козорезова Евгения Федоровича в Арбитражный суд Московской области обратился кредитор - КБ «Инвестиционный союз» (ООО) в лице конкурсного управляющего ГК «Агентство по страхованию вкладов» о признании недействительными сделками договоров купли-продажи нежилых помещений от 01.07.2014 № 1, от 03.09.2015 № 2, от 21.09.2015 № 3, заключенных между должником и Гилядовой Л.Х., и применении последствий недействительности сделок. Определением Арбитражного суда Московской области от 06.04.2023 в удовлетворении заявления отказано. Постановлением Десятого арбитражного апелляционного суда от 31.08.2023, оставленным без изменения постановлением Арбитражного суда Московского округа от 12.12.2023, определение суда первой инстанции отменено, заявление удовлетворено; признаны недействительными сделками договоры купли-продажи нежилых помещений, применены последствия недействительности сделок в виде возврата спорных объектов недвижимости в конкурсную массу должника. 2 Гилядова Л.Х. обратилась в Судебную коллегию Верховного Суда Российской Федерации с кассационной жалобой на принятые по спору постановления судов апелляционной и кассационной инстанций, ссылаясь на существенные нарушения норм права. Письмом судьи Верховного Суда Российской Федерации от 04.04.2024 дело истребовано из Арбитражного суда Московской области для проверки доводов жалобы с его материалами.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с материалами истребованного дела, не установлено. Разрешая спор, суд апелляционной инстанции руководствовался положениями статей 10, 168 Гражданского кодекса Российской Федерации,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 исходил из доказанности недобросовестного поведения сторон договора, являющихся фактически аффилированными лицами, совершения сделки со злоупотреблением правом, в целях безвозмездного вывода ликвидного имущества должника, в отсутствие встречного предоставления. Суд округа поддержал выводы суда апелляционной инстанции. Довод кассационной жалобы о пропуске срока исковой давности подлежит отклонению, поскольку не был заявлен ответчиком при рассмотрении спора в суде первой инстанции. С учетом установленных судами обстоятельств доводы, изложенные заявителем в кассационной жалобе, не подтверждают существенных нарушений судами норм права, повлиявших на исход дела, и не являются 3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