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Мачулина Алексея Сергеевича в Арбитражный суд Волгоградской области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недействительной цепочки последовательных сделок: договора дарения от 20.05.2019, заключенного между должником и Мачулиным С.Ю., договора купли-продажи от 14.07.2020, заключенного между Мачулиным С.Ю. и Светличной Т.М., договора купли-продажи от 13.04.2021, заключенного между Светличной Т.М. и Томилиной А.О., и применении последствий недействительности сделок. Определением Арбитражного суда Волгоградской области от 05.06.2023 производство по заявлению в части признания недействительным договора дарения, заключенного 20.05.2019 между должником и Мачулиным С.Ю., прекращено; в остальной части в удовлетворении заявления финансового управляющего отказано. Постановлением Двенадцатого арбитражного апелляционного суда от 05.10.2023 определение суда первой инстанции оставлено без изменения. Арбитражный суд Поволжского округа постановлением от 15.02.2024 указанные судебные акты отменил и направил обособленный спор на новое рассмотрение в Арбитражный суд Волгоградской области. Светличная Т.М. обратилась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