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25.04.2024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Надлежащая подача кассационной жалобы находится в компетенции заявителя, и зависит только от его волеизъявления. При этом срок на подачу кассационной жалобы исчисляется не с даты опубликования судебного акта, а с даты изготовления арбитражным судом кассационной инстанции судебного акта в полном объеме. Публикация обжалуемого судебного акта 02.02.2024 (на следующий день после его изготовления в полном объеме) не могла привести к несвоевременному обращению с кассационной жалобой в Верховный Суд Российской Федерации, поскольку с момента публикации заявитель располагал достаточным периодом времени для подготовки и подачи жалобы в установленный двухмесячный срок.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«Компания Мекон»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"Компания Мекон" (подробнее) Ответчики: Межрайонная инспекция Федеральной налоговой службы №32 по Свердловской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