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27.04.2024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является постановление Арбитражного суда Уральского округа от 22.01.2024, вступившее в законную силу, согласно части 5 статьи 289 АПК РФ, со дня его принятия – 22.01.2024, следовательно, двухмесячный срок на подачу кассационной жалобы истек 22.03.2024, тогда как жалоба подана 27.04.2024. Одновременно с подачей жалобы Петуховой Л.А. заявлено ходатайство о восстановлении пропущенного процессуального срока. В качестве причины пропуска срока указано позднее получение судебного акта суда кассационной инстанции. Между тем указанное обстоятельство не является уважительной причиной пропуска срока, установленного статьей 291.2 АПК РФ, поскольку окружной суд рассматривал в судебном заседании кассационную жалобу должника, информация о принятом судебном акте размещена судом кассационной инстанции своевременно – обжалуемое постановление окружного суда опубликовано в информационно-телекоммуникационной сети «Интернет» 23.01.2024 и с момента публикации судебного акта заявитель имел достаточный промежуток времени (два месяца) для подготовки и подачи кассационной жалобы в предусмотренный процессуальным законодательством срок.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