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исследовав и оценив представленные в материалы дела доказательства, суд первой инстанции, руководствуясь статьями 372 , 374 , 375 , 381 Налогового кодекса Российской Федерации, статьей 13 Закона Московской области от 24.11.2004 № 151/2004-ОЗ «О льготном налогообложении в Московской области» (далее - Закон № 151/2004-ОЗ), действующим в проверяемый период Положением по бухгалтерскому учету «Учет основных средств» ПБУ 6/01, утвержденным приказом Министерства финансов Российской Федерации от 30.03.2001 № 26н, учитывая разъяснения Министерства финансов Российской Федерации, изложенные в письме от 29.12.2003 № 04-05-06/53, пришел к выводу о том, что оспариваемое решение налогового органа соответствует действующему законодательству и не нарушает права и законные интересы общества, с чем согласились суды апелляционной инстанции и округа. Судебные инстанции исходили из доказанности обстоятельств того, что спорный объект является объектом налогообложения налогом на имущество организаций, в связи с чем, общество необоснованно исключило его из состава объектов налогообложения в уточненной налоговой декларации по налогу на имущество организаций за 2019 год.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«Совхоз имени Ленина»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ЗАО "Совхоз имени Ленина" (подробнее) Ответчики: МИФНС №14 по Московской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