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Свердловской области от 02.11.2023 реализация имущества в отношении ФИО1 завершена, должник освобожден от дальнейшего исполнения требований кредиторов. Постановлением Семнадцатого арбитражного апелляционного суда от 10.01.2024 определение суда первой инстанции оставлено без изменения. Арбитражный суд Уральского округа постановлением от 12.03.2024 указанные судебные акты оставил без изменения. АО «Тинькофф Банк» обратилось в Судебную коллегию Верховного Суда Российской Федерации с кассационной жалобой на принятые судебные акты в части применения к должнику правила об освобождении от дальнейшего исполнения обязательств,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в обжалуемой части, суды руководствовались положениями статьи 213.28 Федерального закона от 26.10.2002 № 127-ФЗ «О несостоятельности (банкротстве)», разъяснениями, изложенными в пунктах 45 и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недобросовестного поведения, умышленного уклонения от исполнения обязательств перед кредитором, не установив признаков преднамеренного и фиктивного банкротства. Доводы кассационной жалобы, с учетом установленных фактических обстоятельств дела,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Интер РАО-Электрогенерация (подробнее) АО "Тинькофф Банк" (подробнее) Иные лица: Ассоциация арбитражных управляющих "Солидарность"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