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Московской области обратился финансовый управляющий с ходатайством об обязании должника передать автомобиль. Определением Арбитражного суда Московской области от 16.08.2023 в удовлетворении заявления отказано. Постановлением Десятого арбитражного апелляционного суда от 11.10.2023 определение суда первой инстанции отменено, заявление удовлетворено. Арбитражный суд Московского округа постановлением от 22.01.2024 постановление суда апелляционной инстанции оставил без изменения. ФИО1 обратилась в Судебную коллегию Верховного Суда Российской Федерации с кассационной жалобой на принятые по спору постановления суда апелляционной инстанции и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 апелляционной инстанции руководствовался положениями статьи 66 Арбитражного процессуального кодекса Российской Федерации, статей 213.9 , 213.25 Федерального закона от 26.10.2002 № 127-ФЗ «О несостоятельности (банкротстве)», разъяснениями, изложенными в постановлении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установив, что спорный автомобиль из собственности должника не выбыл, обязал должника передать указанное транспортное средство финансовому управляющему в целях реализации возложенных на него обязанностей при проведении процедуры банкротства. Суд округа поддержал выводы суда апелляционной инстанции. Доводы, изложенные в кассационной жалобе, приводились в судах апелляционной и кассационной инстанций и мотивированно отклонены. Эти доводы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"Банк Русский Стандарт" (подробнее) АО МОСЭНЕРГОСБЫТ (подробнее) КБ "Финансовый стандарт" (ООО) в лице к/у ГК "АСВ" (подробнее) НП "Организация арбитражных управляющих "Авангард" (подробнее) ООО "Феникс" (подробнее) ПАО "Сбербанк России"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