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признавая недействительным разрешение на выброс вредных (загрязняющих) веществ в атмосферный воздух, выданное обществу на основании приказа Межрегионального управления Федеральной службы по надзору в сфере природопользования по Московской и Смоленской областям, суды исходили из его несоответствия фактическим показателям результатов деятельности хозяйствующего субъекта, приняв во внимание длительность непринятия достаточных и эффективных мер по устранению допущенных несоответствий и проведению корректировки данных инвентаризации выбросов объекта негативного воздействия, а также неоднократное привлечение общества к административной ответственности за выброс вредных веществ в атмосферный воздух или вредное физическое воздействие на него без специального разрешения, за искажение информации о состоянии окружающей среды и природных ресурсов, об источниках загрязнения окружающей среды и природных ресурсов или иного вредного воздействия на окружающую среду и природные ресурсы.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коксогазовый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"МОСКОВСКИЙ КОКСОГАЗОВЫЙ ЗАВОД" (подробнее) Ответчики: АО "Москокс"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