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Авдеева Романа Юрьевича в Арбитражный суд Ростовской области обратился финансовый управляющий его имуществом с заявлением о признании недействительными перечислений в размере 8 014 000 рублей с расчетного счета должника в пользу Кравцова К.А. и применении последствий недействительности сделки в виде взыскания денежных средств в конкурсную массу должника. Определением Арбитражного суда Ростовской области от 29.08.2023, оставленным без изменения постановлением Пятнадцатого арбитражного апелляционного суда от 23.10.2023 и постановлением Арбитражного суда Северо-Кавказского округа от 18.01.2024, признаны недействительными перечисления денежных средств в заявленной сумме и с Кравцова К.А. в конкурсную массу должника взыскано 8 014 000 рублей. ИП Кравцов К.А.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1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установив, что спорные платежи совершены в период неплатежеспособности должника, в отсутствие какого-либо встречного предоставления, что привело к уменьшению конкурсной массы должника, пришли к выводу о наличии оснований для признания сделок недействительными.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