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на указанные судебные акты подана заявителем в электронном виде 22.04.2024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АПК РФ.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срока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является постановление Арбитражного суда Центрального округа от 16.02.2024, вступившее в законную силу, согласно части 5 статьи 289 АПК РФ, со дня его принятия – 16.02.2024, следовательно, двухмесячный срок на подачу кассационной жалобы истек 16.04.2024. Одновременно с подачей жалобы обществом заявлено ходатайство о восстановлении пропущенного процессуального срока. В качестве причины пропуска срока указана болезнь представителя. Между тем,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срока, установленного статьей 291.2 АПК РФ, является внутренней организационной проблемой юридического лица, обратившегося с жалобой, и не может продлевать установленные процессуальные сроки (пункт 34 постановления Пленума Высшего Арбитражного Суда Российской Федерации от 25.12.2013 № 99 «О процессуальных сроках»).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Исходя из вышеизложенного, жалоба подлежит возвращению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ООО «Квинтэссенция Консалтинг» в удовлетворении ходатайства о восстановлении пропущенного процессуального срока подачи кассационной жалобы. Жалобу возвратить без рассмотрения по существу. Судья Верховного Суда Российской Федерации Зарубина Е.Н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