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подлежит оставлению без рассмотрения.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строительству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