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частично удовлетворяя иск общества, суд первой инстанции пришел к выводу о том, что неустойка за нарушение сроков выполнения работ, заявленная к взысканию истцом, подлежит перерасчету с учетом введенного постановлением Правительства Российской Федерации от 03.04.2020 № 428 «О введении моратория на возбуждение дел о банкротстве по заявлению кредиторов в отношении отдельных должников» и постановлением Правительства Российской Федерации от 01.10.2020 № 1587 «О продлении срока действия моратория на возбуждение дел о банкротстве по заявлению кредиторов в отношении отдельных должников» моратория и об отсутствии основания для взыскания законной неустойки. Изменяя решение суда первой инстанции, суд апелляционной инстанции исходил из необходимости уменьшения суммы штрафных санкций с учетом моратория, введенного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кредиторами». Суд округа поддержал выводы суда апелляционной инстанции. Доводы кассационной жалобы не подтверждают наличие оснований, предусмотренных статьями 2916, 29111 Арбитражного процессуального кодекса 2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«Конструкторское бюро «Арсенал» имени М.В.Фрунзе»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