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«Молторг» (далее – истец) обратилось в Арбитражный суд Московской области с иском к федеральному государственному казенному учреждению «Главный клинический военный госпиталь» (далее – ответчик) о взыскании неосновательного обогащения в размере 478 028 рублей, расходов по уплате государственной пошлины в размере 12 561 рублей, судебных издержек на юридические услуги в размере 20 000 рублей. Решением Арбитражного суда Московской области от 17.03.2023, оставленным без изменения постановлением Десятого арбитражного апелляционного суда от 08.06.2023, требования истца удовлетворены. Арбитражный суд Московского округа постановлением от 24.10.2023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истцу в удовлетворении заявленных требований. Письмом судьи Верховного Суда Российской Федерации от 26.02.2024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04.07.2018 № 783 «Об осуществлении заказчиком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пунктом 40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суды пришли к выводу о наличии оснований для списания спорной суммы начисленного ответчиком истцу штрафа и удовлетворили требования истца в указанной части. Также суды признали правомерным требование истца о взыскании расходов на оплату услуг представителя с учетом соблюдения принципов разумности и соразмерности.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действиями сторон при исполнении обязательств по государственному контракту от 19.08.2022. Выводы судов не противоречат правовой позиции Судебной коллегии по экономическим спорам Верховного Суда Российской Федерации, изложенной в определении от 26.02.2024 № 305-ЭС23-20353.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ответчика,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"Молторг" (подробнее) Ответчики: ФЕДЕРАЛЬНОЕ ГОСУДАРСТВЕННОЕ КАЗЕННОЕ УЧРЕЖДЕНИЕ "ГЛАВНЫЙ КЛИНИЧЕСКИЙ ВОЕННЫЙ ГОСПИТАЛЬ"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