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Определением Верховного Суда Российской Федерации от 11.03.2024 заявителю кассационной жалобы предоставлена отсрочка уплаты государственной пошлины до окончания производства по жалобе. Поскольку государственная пошлина не уплачена, она подлежит взысканию в размере, установленном подпунктом 12 пункта 1 статьи 33321 Налогового кодекса Российской Федерации. Руководствуясь статьями 2916, 2918 Арбитражного процессуального кодекса Российской Федерации, 2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«Альфаресурс»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Взыскать с общества с ограниченной ответственностью «Альфаресурс» в доход федерального бюджета 3 000 (три тысячи) рублей государственной пошлины. Поручить Арбитражному суду Ульяновской области выдать исполнительный лист на взыскание государственной пошлины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