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«Производственно- коммерческое предприятие «Теплосфера» (далее – истец) обратилось в Арбитражный суд Ярославской области с иском к муниципальному казенному учреждению Ростовского муниципального района «Единая служба заказчика» (далее – ответчик) о взыскании 226 246 рублей неосновательного обогащения, 3 313 рублей 12 копеек процентов за пользование чужими денежными 2 средствами, 81 258 рублей 23 копеек задолженности по оплате выполненных работ, 2 620 рублей 57 копеек пеней за просрочку оплаты работ. К участию в деле в качестве третьего лица, не заявляющего самостоятельные требования, привлечено публичное акционерное общество акционерный коммерческий банк «Абсолют банк». Решением Арбитражного суда Ярославской области от 13.02.2023, оставленным без изменения постановлением Второго арбитражного апелляционного суда от 19.05.2023, с ответчика в пользу истца взыскано 307 504 рубля 23 копейки; принят отказ истца от требований в части взыскания процентов и пеней, производство по делу в данной части прекращено. Арбитражный суд Волго-Вятского округа постановлением от 20.10.2023 в порядке процессуального правопреемства произвел замену ответчика на муниципальное бюджетное учреждение Ростовского муниципального района «Центр архитектуры и градостроительства»; оставил без изменения решение суда первой инстанции и постановление суда апелляционной инстанции. Ответчик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истцу в удовлетворении требований в полном объеме. Письмом судьи Верховного Суда Российской Федерации от 19.02.2024 были истребованы материалы дела из Арбитражного суда Ярославской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руководствуясь положениями 3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постановлением Правительства Российской Федерации от 04.07.2018 № 783 «Об осуществлении заказчиком списания сумм неустоек (штрафов, пеней), начисленных поставщику (подрядчику, исполнителю), но не списанных заказчиком в связи с неисполнением или ненадлежащим исполнением в 2015, 2016, 2020, 2021 годах обязательств, предусмотренных контрактом», пунктом 40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Президиумом Верховного Суда Российской Федерации 28.06.2017, суды пришли к выводу о наличии оснований для списания спорной суммы неустойки и удовлетворили требования истца. Обжалуя судебные акты в Верховный Суд Российской Федерации, ответчик приводит доводы, которые являлись предметом рассмотрения судов и получили правовую оценку с учетом установленных фактических обстоятельств дела, связанных с действиями сторон при исполнении обязательств по муниципальному контракту от 20.08.2020 № 01712000019200013520001 с учетом соглашения от 05.05.2022 о расторжении договора по взаимному согласию сторон, согласно которому стороны определили окончательную сумму исполненных по контракту обязательств подрядчика в размере 32 939 650 рублей 95 копеек и признали обязательства исполненными. Несогласие ответчика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Выводы судов не противоречат правовой позиции Судебной коллегии по экономическим спорам Верховного Суда Российской Федерации, изложенной в определении от 26.02.2024 № 305-ЭС23-20353. Доводы ответчика, изложенные в кассационной жалобе, направлены на переоценку представленных в материалы дела доказательств и фактических обстоятельств дела, установленных судами, и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4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