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компания «Российские автомобильные дороги» (далее – истец) обратилась в Арбитражный суд города Москвы с иском к обществу с ограниченной ответственностью «Легасофт» (далее – ответчик) о взыскании неосновательного обогащения в размере 3 069 580 рублей 82 копеек за не оказанные услуги по договору от 26.11.2021 № ДИТиИТС-2021-2056. Решением Арбитражного суда города Москвы от 03.04.2023, оставленным без изменения постановлением Девятого арбитражного апелляционного суда от 27.07.2023, истцу отказано в удовлетворении заявленных требований. Арбитражный суд Московского округа постановлением от 14.12.2023 оставил без изменения решение суда первой инстанции и постановление суда апелляционной инстанции. 2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22.02.2024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суды пришли к выводу об отсутствии оснований для удовлетворения заявленных требований. При этом суды исходили из совокупности условий заключенного сторонами договора; обстоятельств прекращения технической поддержки программного продукта его правообладателем; особенностей спорного программного обеспечения и продолжения осуществления его технической поддержки ответчиком (сублицензиатом), поставившим об этом в известность истца.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Судебная практика, на которую ссылается истец, касается иных фактических обстоятельств, в том числе связанных с иными условиями договоров. 3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